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10215B06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proofErr w:type="spellStart"/>
      <w:r w:rsidR="00651774">
        <w:rPr>
          <w:rFonts w:ascii="Arial" w:eastAsia="Arial" w:hAnsi="Arial" w:cs="Arial"/>
          <w:color w:val="000000" w:themeColor="text1"/>
          <w:sz w:val="22"/>
          <w:szCs w:val="22"/>
        </w:rPr>
        <w:t>Priorslee</w:t>
      </w:r>
      <w:proofErr w:type="spellEnd"/>
      <w:r w:rsidR="00651774">
        <w:rPr>
          <w:rFonts w:ascii="Arial" w:eastAsia="Arial" w:hAnsi="Arial" w:cs="Arial"/>
          <w:color w:val="000000" w:themeColor="text1"/>
          <w:sz w:val="22"/>
          <w:szCs w:val="22"/>
        </w:rPr>
        <w:t xml:space="preserve"> Pre-School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 w:rsidR="00651774">
        <w:rPr>
          <w:rFonts w:ascii="Arial" w:eastAsia="Arial" w:hAnsi="Arial" w:cs="Arial"/>
          <w:color w:val="000000" w:themeColor="text1"/>
          <w:sz w:val="22"/>
          <w:szCs w:val="22"/>
        </w:rPr>
        <w:t xml:space="preserve"> 17</w:t>
      </w:r>
      <w:r w:rsidR="00651774" w:rsidRPr="00651774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th</w:t>
      </w:r>
      <w:r w:rsidR="00651774">
        <w:rPr>
          <w:rFonts w:ascii="Arial" w:eastAsia="Arial" w:hAnsi="Arial" w:cs="Arial"/>
          <w:color w:val="000000" w:themeColor="text1"/>
          <w:sz w:val="22"/>
          <w:szCs w:val="22"/>
        </w:rPr>
        <w:t xml:space="preserve"> November 2025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5FAE749" w14:textId="77777777" w:rsidR="000D76CD" w:rsidRDefault="000D76CD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35512B67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3A1B0401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="0065177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5177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Priorslee</w:t>
      </w:r>
      <w:proofErr w:type="spellEnd"/>
      <w:r w:rsidR="0065177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Pre-School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41F52B2A" w14:textId="47AE789B" w:rsidR="00DF5E49" w:rsidRPr="00651774" w:rsidRDefault="375BC1BA" w:rsidP="00651774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proofErr w:type="gramStart"/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Aim</w:t>
      </w:r>
      <w:r w:rsidR="00651774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:-</w:t>
      </w:r>
      <w:proofErr w:type="gramEnd"/>
      <w:r w:rsidR="00651774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651774" w:rsidRPr="00651774">
        <w:rPr>
          <w:rFonts w:ascii="Arial" w:eastAsia="Arial" w:hAnsi="Arial" w:cs="Arial"/>
          <w:color w:val="000000" w:themeColor="text1"/>
          <w:kern w:val="0"/>
          <w:lang w:eastAsia="en-GB"/>
          <w14:ligatures w14:val="none"/>
        </w:rPr>
        <w:t>Priorslee</w:t>
      </w:r>
      <w:proofErr w:type="spellEnd"/>
      <w:r w:rsidR="00651774" w:rsidRPr="00651774">
        <w:rPr>
          <w:rFonts w:ascii="Arial" w:eastAsia="Arial" w:hAnsi="Arial" w:cs="Arial"/>
          <w:color w:val="000000" w:themeColor="text1"/>
          <w:kern w:val="0"/>
          <w:lang w:eastAsia="en-GB"/>
          <w14:ligatures w14:val="none"/>
        </w:rPr>
        <w:t xml:space="preserve"> Pre-</w:t>
      </w:r>
      <w:proofErr w:type="gramStart"/>
      <w:r w:rsidR="00651774" w:rsidRPr="00651774">
        <w:rPr>
          <w:rFonts w:ascii="Arial" w:eastAsia="Arial" w:hAnsi="Arial" w:cs="Arial"/>
          <w:color w:val="000000" w:themeColor="text1"/>
          <w:kern w:val="0"/>
          <w:lang w:eastAsia="en-GB"/>
          <w14:ligatures w14:val="none"/>
        </w:rPr>
        <w:t>School</w:t>
      </w:r>
      <w:r w:rsidR="00651774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</w:t>
      </w:r>
      <w:proofErr w:type="gramEnd"/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1DDC37F0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lastRenderedPageBreak/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65177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John Barker (Chair)</w:t>
      </w:r>
    </w:p>
    <w:p w14:paraId="7FF7C91A" w14:textId="1F87D51A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</w:t>
      </w:r>
      <w:r w:rsidR="00651774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</w:t>
      </w:r>
      <w:proofErr w:type="spellStart"/>
      <w:r w:rsidR="00651774">
        <w:rPr>
          <w:rFonts w:ascii="Arial" w:eastAsia="Arial" w:hAnsi="Arial" w:cs="Arial"/>
          <w:b/>
          <w:bCs/>
          <w:color w:val="000000" w:themeColor="text1"/>
          <w:lang w:eastAsia="en-GB"/>
        </w:rPr>
        <w:t>Priorslee</w:t>
      </w:r>
      <w:proofErr w:type="spellEnd"/>
      <w:r w:rsidR="00651774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Pre-School 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4AFE060A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</w:t>
      </w:r>
      <w:r w:rsidR="0065177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 </w:t>
      </w:r>
      <w:proofErr w:type="spellStart"/>
      <w:r w:rsidR="0065177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Priorslee</w:t>
      </w:r>
      <w:proofErr w:type="spellEnd"/>
      <w:r w:rsidR="0065177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Pre-School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14DCFD0B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000D76C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D76C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Priorslee</w:t>
      </w:r>
      <w:proofErr w:type="spellEnd"/>
      <w:r w:rsidR="000D76C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-School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56E9898E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</w:t>
      </w:r>
      <w:r w:rsidR="000D76C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D76C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Priorslee</w:t>
      </w:r>
      <w:proofErr w:type="spellEnd"/>
      <w:r w:rsidR="000D76C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Pre-School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20B7E86" w14:textId="636F0216" w:rsidR="00CA4CE5" w:rsidRPr="000D76CD" w:rsidRDefault="5DA8163F" w:rsidP="000D76CD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3A63703E" w:rsidR="00BF58B7" w:rsidRPr="000D76CD" w:rsidRDefault="1249D25B" w:rsidP="000D76C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4592453D" w:rsidR="0019757A" w:rsidRPr="006A33A7" w:rsidRDefault="000D76C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Encourage parents to use child’s own clothes rather than a uniform.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465C478C" w:rsidR="6764C0D8" w:rsidRPr="000D76CD" w:rsidRDefault="2767F6DF" w:rsidP="000D76C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Using energy saving light bulbs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65DA6EE" w14:textId="36EF7974" w:rsidR="009366A0" w:rsidRPr="000D76CD" w:rsidRDefault="4A62E1AF" w:rsidP="000D76CD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Minimising food waste:</w:t>
      </w:r>
    </w:p>
    <w:p w14:paraId="5B5C6368" w14:textId="07A2C23C" w:rsidR="00B20191" w:rsidRPr="006A33A7" w:rsidRDefault="5AE635E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Made links and have a box so that donati</w:t>
      </w:r>
      <w:r w:rsidR="3B4DBD1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ons for the local food bank can be collected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2767321" w14:textId="4D7C6FE6" w:rsidR="00532D8B" w:rsidRPr="000D76CD" w:rsidRDefault="3B4DBD1D" w:rsidP="000D76C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68B4D48" w14:textId="77777777" w:rsidR="000D76CD" w:rsidRDefault="000D76CD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</w:p>
    <w:p w14:paraId="6D7ABCEA" w14:textId="39DDA18C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lastRenderedPageBreak/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D5E525" w14:textId="5DDB71DE" w:rsidR="00F6567D" w:rsidRPr="000D76CD" w:rsidRDefault="217761B7" w:rsidP="000D76CD">
      <w:pPr>
        <w:spacing w:beforeAutospacing="1" w:afterAutospacing="1" w:line="360" w:lineRule="auto"/>
        <w:rPr>
          <w:color w:val="000000" w:themeColor="text1"/>
        </w:rPr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3784E83E" w14:textId="77777777" w:rsidR="00651774" w:rsidRDefault="00651774" w:rsidP="00651774">
      <w:pPr>
        <w:pStyle w:val="NormalWeb"/>
        <w:spacing w:line="360" w:lineRule="auto"/>
        <w:rPr>
          <w:rFonts w:ascii="ArialMT" w:hAnsi="ArialMT"/>
        </w:rPr>
      </w:pPr>
      <w:r w:rsidRPr="00651774">
        <w:rPr>
          <w:rFonts w:ascii="ArialMT" w:hAnsi="ArialMT"/>
        </w:rPr>
        <w:t xml:space="preserve">This policy was adopted </w:t>
      </w:r>
      <w:proofErr w:type="gramStart"/>
      <w:r w:rsidRPr="00651774">
        <w:rPr>
          <w:rFonts w:ascii="ArialMT" w:hAnsi="ArialMT"/>
        </w:rPr>
        <w:t>by :</w:t>
      </w:r>
      <w:proofErr w:type="gramEnd"/>
      <w:r w:rsidRPr="00651774">
        <w:rPr>
          <w:rFonts w:ascii="ArialMT" w:hAnsi="ArialMT"/>
        </w:rPr>
        <w:t xml:space="preserve"> - </w:t>
      </w:r>
      <w:proofErr w:type="spellStart"/>
      <w:r w:rsidRPr="00651774">
        <w:rPr>
          <w:rFonts w:ascii="ArialMT" w:hAnsi="ArialMT"/>
        </w:rPr>
        <w:t>Priorslee</w:t>
      </w:r>
      <w:proofErr w:type="spellEnd"/>
      <w:r w:rsidRPr="00651774">
        <w:rPr>
          <w:rFonts w:ascii="ArialMT" w:hAnsi="ArialMT"/>
        </w:rPr>
        <w:t xml:space="preserve"> Pre-School</w:t>
      </w:r>
      <w:r w:rsidRPr="00651774">
        <w:rPr>
          <w:rFonts w:ascii="ArialMT" w:hAnsi="ArialMT"/>
        </w:rPr>
        <w:br/>
        <w:t>Signed on behalf of the provider.........</w:t>
      </w:r>
      <w:r w:rsidRPr="00651774">
        <w:rPr>
          <w:rFonts w:ascii="Arial" w:hAnsi="Arial" w:cs="Arial"/>
        </w:rPr>
        <w:t xml:space="preserve"> </w:t>
      </w:r>
      <w:r w:rsidRPr="00651774">
        <w:rPr>
          <w:rFonts w:ascii="Arial" w:hAnsi="Arial" w:cs="Arial"/>
          <w:noProof/>
        </w:rPr>
        <w:drawing>
          <wp:inline distT="0" distB="0" distL="0" distR="0" wp14:anchorId="2294C16D" wp14:editId="3FCD368F">
            <wp:extent cx="11811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774">
        <w:rPr>
          <w:rFonts w:ascii="ArialMT" w:hAnsi="ArialMT"/>
        </w:rPr>
        <w:t xml:space="preserve">..............................       </w:t>
      </w:r>
    </w:p>
    <w:p w14:paraId="687C1E2E" w14:textId="76A51E36" w:rsidR="00651774" w:rsidRPr="00651774" w:rsidRDefault="00651774" w:rsidP="00651774">
      <w:pPr>
        <w:pStyle w:val="NormalWeb"/>
        <w:spacing w:line="360" w:lineRule="auto"/>
        <w:rPr>
          <w:rFonts w:ascii="ArialMT" w:hAnsi="ArialMT"/>
        </w:rPr>
      </w:pPr>
      <w:r w:rsidRPr="00651774">
        <w:rPr>
          <w:rFonts w:ascii="ArialMT" w:hAnsi="ArialMT"/>
        </w:rPr>
        <w:t xml:space="preserve">Name of </w:t>
      </w:r>
      <w:proofErr w:type="gramStart"/>
      <w:r w:rsidRPr="00651774">
        <w:rPr>
          <w:rFonts w:ascii="ArialMT" w:hAnsi="ArialMT"/>
        </w:rPr>
        <w:t>signatory :</w:t>
      </w:r>
      <w:proofErr w:type="gramEnd"/>
      <w:r w:rsidRPr="00651774">
        <w:rPr>
          <w:rFonts w:ascii="ArialMT" w:hAnsi="ArialMT"/>
        </w:rPr>
        <w:t xml:space="preserve"> - John Barker                                                             </w:t>
      </w:r>
    </w:p>
    <w:p w14:paraId="7C9EAF09" w14:textId="77777777" w:rsidR="00651774" w:rsidRPr="00651774" w:rsidRDefault="00651774" w:rsidP="00651774">
      <w:pPr>
        <w:pStyle w:val="NormalWeb"/>
        <w:spacing w:line="360" w:lineRule="auto"/>
      </w:pPr>
      <w:r w:rsidRPr="00651774">
        <w:rPr>
          <w:rFonts w:ascii="ArialMT" w:hAnsi="ArialMT"/>
        </w:rPr>
        <w:t>Role of signatory (e.g. chair, director or owner): - Chair</w:t>
      </w:r>
    </w:p>
    <w:p w14:paraId="22BDDAB5" w14:textId="2D15B86E" w:rsidR="00651774" w:rsidRPr="00DF466B" w:rsidRDefault="00651774" w:rsidP="00651774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51774">
        <w:rPr>
          <w:rFonts w:ascii="ArialMT" w:hAnsi="ArialMT"/>
        </w:rPr>
        <w:t xml:space="preserve">Date: - </w:t>
      </w:r>
      <w:r w:rsidR="000D76CD">
        <w:rPr>
          <w:rFonts w:ascii="ArialMT" w:hAnsi="ArialMT"/>
        </w:rPr>
        <w:t>17</w:t>
      </w:r>
      <w:r w:rsidRPr="00651774">
        <w:rPr>
          <w:rFonts w:ascii="ArialMT" w:hAnsi="ArialMT"/>
          <w:vertAlign w:val="superscript"/>
        </w:rPr>
        <w:t>th</w:t>
      </w:r>
      <w:r w:rsidRPr="00651774">
        <w:rPr>
          <w:rFonts w:ascii="ArialMT" w:hAnsi="ArialMT"/>
        </w:rPr>
        <w:t xml:space="preserve"> November 202</w:t>
      </w:r>
      <w:r w:rsidR="000D76CD">
        <w:rPr>
          <w:rFonts w:ascii="ArialMT" w:hAnsi="ArialMT"/>
        </w:rPr>
        <w:t>5</w:t>
      </w:r>
    </w:p>
    <w:sectPr w:rsidR="00651774" w:rsidRPr="00DF466B" w:rsidSect="00DF466B">
      <w:headerReference w:type="default" r:id="rId12"/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199A" w14:textId="77777777" w:rsidR="002C4057" w:rsidRDefault="002C4057">
      <w:pPr>
        <w:spacing w:after="0" w:line="240" w:lineRule="auto"/>
      </w:pPr>
      <w:r>
        <w:separator/>
      </w:r>
    </w:p>
  </w:endnote>
  <w:endnote w:type="continuationSeparator" w:id="0">
    <w:p w14:paraId="374E7F12" w14:textId="77777777" w:rsidR="002C4057" w:rsidRDefault="002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4485" w14:textId="77777777" w:rsidR="002C4057" w:rsidRDefault="002C4057">
      <w:pPr>
        <w:spacing w:after="0" w:line="240" w:lineRule="auto"/>
      </w:pPr>
      <w:r>
        <w:separator/>
      </w:r>
    </w:p>
  </w:footnote>
  <w:footnote w:type="continuationSeparator" w:id="0">
    <w:p w14:paraId="7EFEE583" w14:textId="77777777" w:rsidR="002C4057" w:rsidRDefault="002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D76CD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7611"/>
    <w:rsid w:val="00651774"/>
    <w:rsid w:val="00670D50"/>
    <w:rsid w:val="006907CF"/>
    <w:rsid w:val="006A33A7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25C28"/>
    <w:rsid w:val="00A2657D"/>
    <w:rsid w:val="00A73FA0"/>
    <w:rsid w:val="00A824CA"/>
    <w:rsid w:val="00A84ED5"/>
    <w:rsid w:val="00AD5CF8"/>
    <w:rsid w:val="00B02FD2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Props1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72225-4449-4282-B878-B0B4C40D559B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c3b80c5-640a-4874-b78c-e0b0a16b43ff"/>
    <ds:schemaRef ds:uri="9ecd9464-01dd-4d64-bd14-78eb53cb503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John Barker</cp:lastModifiedBy>
  <cp:revision>2</cp:revision>
  <cp:lastPrinted>2025-12-03T08:08:00Z</cp:lastPrinted>
  <dcterms:created xsi:type="dcterms:W3CDTF">2025-12-03T08:08:00Z</dcterms:created>
  <dcterms:modified xsi:type="dcterms:W3CDTF">2025-12-03T08:08:00Z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